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IT’S TIME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Plan aktivnosti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50"/>
        <w:gridCol w:w="6985"/>
        <w:tblGridChange w:id="0">
          <w:tblGrid>
            <w:gridCol w:w="2750"/>
            <w:gridCol w:w="6985"/>
          </w:tblGrid>
        </w:tblGridChange>
      </w:tblGrid>
      <w:tr>
        <w:trPr>
          <w:cantSplit w:val="0"/>
          <w:trHeight w:val="1251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Naslov aktivnosti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Izračun dobiti solarne farme</w:t>
            </w:r>
          </w:p>
          <w:p w:rsidR="00000000" w:rsidDel="00000000" w:rsidP="00000000" w:rsidRDefault="00000000" w:rsidRPr="00000000" w14:paraId="00000006">
            <w:pPr>
              <w:pStyle w:val="Heading2"/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Uvod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Upoznati se s prednostima solarne energije, što su solarni paneli, kako rade i kako izračunati dobit od solarne farme.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4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Ishodi učenja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Cilj je usvojiti ponašanje i navike koje čuvaju prirodne vrijednosti okoliša. Namjeravamo podići svijest i poučiti učenike o prednostima pokretanja solarne farme. Želimo razgovarati o važnosti smanjenja ovisnosti o fosilnim gorivima. U ovoj radionici učenici će naučiti pojednostavljenu formulu za približavanje dobiti od solarne energije.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Očekivano trajanje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 minuta</w:t>
            </w:r>
          </w:p>
        </w:tc>
      </w:tr>
      <w:tr>
        <w:trPr>
          <w:cantSplit w:val="0"/>
          <w:trHeight w:val="1884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Metode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Potrebni resursi: projektor, računalo, pristup internetu, istraživački članci, kalkulator, kratki video materijali (dokumentarni filmovi)</w:t>
              <w:br w:type="textWrapping"/>
              <w:t xml:space="preserve">Definicije pojmova: solarni paneli, samoodrživa kuća, toplinske pumpe</w:t>
              <w:br w:type="textWrapping"/>
              <w:t xml:space="preserve">Studije slučaja: Istraživanje statistike o solarnim panelima na internetu (troškovna učinkovitost, dostupnost, pristupačnost u Hrvatskoj)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Opis aktivnosti 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Individualno istraživanje prethodnog znanja o temi, rasprava i dijalog o relevantnosti teme, teorijski dio, istraživanje i praktični izračuni.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Procjena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Kroz raspravu i razne zadatke ocijenit ćemo je li naša radionica poučila učenike nove i vrijedne informacije o održivom i ekološki prihvatljivom načinu života.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Zaključak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Učenici će prepoznati prednosti korištenja održive solarne energije za napajanje svojih kuća i uređaja, istovremeno smanjujući upotrebu štetnih fosilnih goriva.</w:t>
              <w:br w:type="textWrapping"/>
              <w:t xml:space="preserve">Učenici će predstaviti rezultate svog istraživanja i izračuna na školskoj web stranici.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Izradile: Mirela Generalić, prof., Željka Duh Blašković,  prof.</w:t>
      </w:r>
    </w:p>
    <w:p w:rsidR="00000000" w:rsidDel="00000000" w:rsidP="00000000" w:rsidRDefault="00000000" w:rsidRPr="00000000" w14:paraId="0000001C">
      <w:pPr>
        <w:pStyle w:val="Heading1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3568700</wp:posOffset>
              </wp:positionH>
              <wp:positionV relativeFrom="paragraph">
                <wp:posOffset>228600</wp:posOffset>
              </wp:positionV>
              <wp:extent cx="2630170" cy="65151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40440" y="3463770"/>
                        <a:ext cx="2611120" cy="632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Erasmus+ Programme –Cooperation partnerships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Project No.: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8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2023-1-RO01-KA220-SCH-000159201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3568700</wp:posOffset>
              </wp:positionH>
              <wp:positionV relativeFrom="paragraph">
                <wp:posOffset>228600</wp:posOffset>
              </wp:positionV>
              <wp:extent cx="2630170" cy="651510"/>
              <wp:effectExtent b="0" l="0" r="0" t="0"/>
              <wp:wrapNone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0170" cy="6515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1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307545" cy="504075"/>
          <wp:effectExtent b="0" l="0" r="0" t="0"/>
          <wp:docPr descr="Blue text on a white background&#10;&#10;Description automatically generated" id="7" name="image1.png"/>
          <a:graphic>
            <a:graphicData uri="http://schemas.openxmlformats.org/drawingml/2006/picture">
              <pic:pic>
                <pic:nvPicPr>
                  <pic:cNvPr descr="Blue text on a white background&#10;&#10;Description automatically generated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7545" cy="504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356360" cy="1356360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6360" cy="13563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                             </w:t>
    </w:r>
    <w:r w:rsidDel="00000000" w:rsidR="00000000" w:rsidRPr="00000000">
      <w:rPr>
        <w:color w:val="000000"/>
      </w:rPr>
      <w:drawing>
        <wp:inline distB="0" distT="0" distL="0" distR="0">
          <wp:extent cx="2002033" cy="701354"/>
          <wp:effectExtent b="0" l="0" r="0" t="0"/>
          <wp:docPr descr="A close up of a logo&#10;&#10;Description automatically generated" id="8" name="image2.jp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2033" cy="7013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rFonts w:ascii="Calibri" w:cs="Calibri" w:eastAsia="Calibri" w:hAnsi="Calibri"/>
      <w:sz w:val="22"/>
      <w:szCs w:val="22"/>
      <w:lang w:eastAsia="nl-NL" w:val="en-GB"/>
    </w:rPr>
  </w:style>
  <w:style w:type="paragraph" w:styleId="Naslov1">
    <w:name w:val="heading 1"/>
    <w:basedOn w:val="Normal"/>
    <w:next w:val="Normal"/>
    <w:link w:val="Naslov1Char"/>
    <w:uiPriority w:val="9"/>
    <w:qFormat w:val="1"/>
    <w:pPr>
      <w:keepNext w:val="1"/>
      <w:keepLines w:val="1"/>
      <w:spacing w:after="80" w:before="360"/>
      <w:outlineLvl w:val="0"/>
    </w:pPr>
    <w:rPr>
      <w:color w:val="2f5496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 w:val="1"/>
    <w:qFormat w:val="1"/>
    <w:pPr>
      <w:keepNext w:val="1"/>
      <w:keepLines w:val="1"/>
      <w:spacing w:after="80" w:before="160"/>
      <w:outlineLvl w:val="1"/>
    </w:pPr>
    <w:rPr>
      <w:color w:val="2f5496"/>
      <w:sz w:val="32"/>
      <w:szCs w:val="32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Reetkatablice">
    <w:name w:val="Table Grid"/>
    <w:basedOn w:val="Obinatablica"/>
    <w:uiPriority w:val="59"/>
    <w:qFormat w:val="1"/>
    <w:rPr>
      <w:rFonts w:eastAsiaTheme="minorEastAsia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slov1Char" w:customStyle="1">
    <w:name w:val="Naslov 1 Char"/>
    <w:basedOn w:val="Zadanifontodlomka"/>
    <w:link w:val="Naslov1"/>
    <w:uiPriority w:val="9"/>
    <w:rPr>
      <w:rFonts w:ascii="Calibri" w:cs="Calibri" w:eastAsia="Calibri" w:hAnsi="Calibri"/>
      <w:color w:val="2f5496"/>
      <w:sz w:val="40"/>
      <w:szCs w:val="40"/>
      <w:lang w:eastAsia="nl-NL" w:val="en-GB"/>
    </w:rPr>
  </w:style>
  <w:style w:type="character" w:styleId="Naslov2Char" w:customStyle="1">
    <w:name w:val="Naslov 2 Char"/>
    <w:basedOn w:val="Zadanifontodlomka"/>
    <w:link w:val="Naslov2"/>
    <w:uiPriority w:val="9"/>
    <w:rPr>
      <w:rFonts w:ascii="Calibri" w:cs="Calibri" w:eastAsia="Calibri" w:hAnsi="Calibri"/>
      <w:color w:val="2f5496"/>
      <w:sz w:val="32"/>
      <w:szCs w:val="32"/>
      <w:lang w:eastAsia="nl-NL" w:val="en-GB"/>
    </w:rPr>
  </w:style>
  <w:style w:type="paragraph" w:styleId="StandardWeb">
    <w:name w:val="Normal (Web)"/>
    <w:basedOn w:val="Normal"/>
    <w:uiPriority w:val="99"/>
    <w:semiHidden w:val="1"/>
    <w:unhideWhenUsed w:val="1"/>
    <w:rsid w:val="00FF7B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hr-HR" w:val="hr-HR"/>
    </w:rPr>
  </w:style>
  <w:style w:type="character" w:styleId="Naglaeno">
    <w:name w:val="Strong"/>
    <w:basedOn w:val="Zadanifontodlomka"/>
    <w:uiPriority w:val="22"/>
    <w:qFormat w:val="1"/>
    <w:rsid w:val="00FF7B63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jCoFn9Ow6AU70ScjMzQJgFjfA==">CgMxLjA4AHIhMTNzNFBBRGZuZHNYSkZXMzRMVWh5NzhGdkY0bVJ5NEdE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2024-10-15T11:21:00Z</dcterms:created>
  <dc:creator>Profesor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1033-12.2.0.17152</vt:lpwstr>
  </property>
  <property fmtid="{D5CDD505-2E9C-101B-9397-08002B2CF9AE}" pid="3" name="ICV">
    <vt:lpwstr>74B0439BAB1D493CB18B1A4E4CA47DC1_13</vt:lpwstr>
  </property>
</Properties>
</file>